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44" w:after="0"/>
        <w:ind w:left="1212" w:right="105" w:hanging="0"/>
        <w:rPr/>
      </w:pPr>
      <w:r>
        <w:rPr/>
        <w:t>ПОЛИТИКА В ОТНОШЕНИИ ОБРАБОТКИ ПЕРСОНАЛЬНЫХ ДАННЫХ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Style13"/>
        <w:spacing w:before="185" w:after="0"/>
        <w:ind w:left="101" w:right="117" w:firstLine="708"/>
        <w:jc w:val="both"/>
        <w:rPr/>
      </w:pPr>
      <w:r>
        <w:rPr>
          <w:lang w:val="ru-RU"/>
        </w:rPr>
        <w:t>ООО</w:t>
      </w:r>
      <w:r>
        <w:rPr/>
        <w:t xml:space="preserve"> «</w:t>
      </w:r>
      <w:r>
        <w:rPr>
          <w:lang w:val="ru-RU"/>
        </w:rPr>
        <w:t>Симилия</w:t>
      </w:r>
      <w:r>
        <w:rPr/>
        <w:t>» осуществляет свою деятельность в соответствии с законодательством Российской Федерации по направлениям, обозначенным в полученных лицензиях на осуществление медицинской деятельности. Оказание медицинских услуг предполагает обработку и хранение персональных   данных   пациентов   в   Медицинской   информационной   системе “</w:t>
      </w:r>
      <w:r>
        <w:rPr/>
        <w:t>Glorias”</w:t>
      </w:r>
      <w:r>
        <w:rPr/>
        <w:t>. В соответствии с законодательством Поликлиникой выполнен комплекс технических и организационных мероприятий для обеспечения безопасности обрабатываемых и хранимых персональных данных.</w:t>
      </w:r>
    </w:p>
    <w:p>
      <w:pPr>
        <w:pStyle w:val="Style13"/>
        <w:ind w:left="101" w:right="117" w:firstLine="708"/>
        <w:jc w:val="both"/>
        <w:rPr/>
      </w:pPr>
      <w:r>
        <w:rPr/>
        <w:t xml:space="preserve">Одна из приоритетных задач в работе организации - соблюдение действующего законодательства Российской Федерации в области информационной безопасности, а так же требований федерального закона от 27.06.2006 года №152-ФЗ </w:t>
      </w:r>
      <w:r>
        <w:rPr>
          <w:spacing w:val="0"/>
        </w:rPr>
        <w:t>«О</w:t>
      </w:r>
      <w:r>
        <w:rPr>
          <w:spacing w:val="52"/>
        </w:rPr>
        <w:t xml:space="preserve"> </w:t>
      </w:r>
      <w:r>
        <w:rPr/>
        <w:t>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</w:t>
      </w:r>
      <w:r>
        <w:rPr>
          <w:spacing w:val="0"/>
        </w:rPr>
        <w:t xml:space="preserve"> </w:t>
      </w:r>
      <w:r>
        <w:rPr/>
        <w:t>тайну.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ind w:left="0" w:right="0" w:hanging="0"/>
        <w:rPr/>
      </w:pPr>
      <w:r>
        <w:rPr/>
        <w:t>Цель обработки персональных данных</w:t>
      </w:r>
    </w:p>
    <w:p>
      <w:pPr>
        <w:pStyle w:val="Style13"/>
        <w:spacing w:before="175" w:after="0"/>
        <w:ind w:left="101" w:right="117" w:firstLine="708"/>
        <w:jc w:val="both"/>
        <w:rPr/>
      </w:pPr>
      <w:r>
        <w:rPr/>
        <w:t>Целью обработки, включая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является оказание медицинских услуг и исполнение обязательств Поликлиники перед пациентом по договору с ним, связь с пациентом в случае необходимости, а также выполнение условий трудового договора с работниками Поликлиники в соответствии с законодательством.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Принципы обработки персональных данных</w:t>
      </w:r>
    </w:p>
    <w:p>
      <w:pPr>
        <w:pStyle w:val="Style13"/>
        <w:spacing w:before="175" w:after="0"/>
        <w:ind w:left="101" w:right="118" w:firstLine="708"/>
        <w:jc w:val="both"/>
        <w:rPr/>
      </w:pPr>
      <w:r>
        <w:rPr/>
        <w:t xml:space="preserve">При обработке персональных данных </w:t>
      </w:r>
      <w:r>
        <w:rPr>
          <w:lang w:val="ru-RU"/>
        </w:rPr>
        <w:t>ООО</w:t>
      </w:r>
      <w:r>
        <w:rPr/>
        <w:t xml:space="preserve"> «</w:t>
      </w:r>
      <w:r>
        <w:rPr>
          <w:lang w:val="ru-RU"/>
        </w:rPr>
        <w:t>Симилия</w:t>
      </w:r>
      <w:r>
        <w:rPr/>
        <w:t>» придерживается следующих принципов: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exact" w:line="274" w:before="204" w:after="0"/>
        <w:ind w:left="821" w:right="119" w:hanging="360"/>
        <w:jc w:val="left"/>
        <w:rPr>
          <w:sz w:val="24"/>
        </w:rPr>
      </w:pPr>
      <w:r>
        <w:rPr>
          <w:sz w:val="24"/>
        </w:rPr>
        <w:t>соблюдение законности получения, обработки, хранения, а так же других действий с персональными</w:t>
      </w:r>
      <w:r>
        <w:rPr>
          <w:spacing w:val="0"/>
          <w:sz w:val="24"/>
        </w:rPr>
        <w:t xml:space="preserve"> </w:t>
      </w:r>
      <w:r>
        <w:rPr>
          <w:sz w:val="24"/>
        </w:rPr>
        <w:t>данными;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exact" w:line="274" w:before="201" w:after="0"/>
        <w:ind w:left="821" w:right="120" w:hanging="360"/>
        <w:jc w:val="left"/>
        <w:rPr>
          <w:sz w:val="24"/>
        </w:rPr>
      </w:pPr>
      <w:r>
        <w:rPr>
          <w:sz w:val="24"/>
        </w:rPr>
        <w:t>обработка персональных данных исключительно с целью исполнения своих обязательств по договору оказания услуг, а также по трудовому</w:t>
      </w:r>
      <w:r>
        <w:rPr>
          <w:spacing w:val="0"/>
          <w:sz w:val="24"/>
        </w:rPr>
        <w:t xml:space="preserve"> </w:t>
      </w:r>
      <w:r>
        <w:rPr>
          <w:sz w:val="24"/>
        </w:rPr>
        <w:t>договору;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exact" w:line="274" w:before="201" w:after="0"/>
        <w:ind w:left="821" w:right="121" w:hanging="360"/>
        <w:jc w:val="left"/>
        <w:rPr>
          <w:sz w:val="24"/>
        </w:rPr>
      </w:pPr>
      <w:r>
        <w:rPr>
          <w:sz w:val="24"/>
        </w:rPr>
        <w:t>сбор только тех персональных данных, которые минимально необходимы для достижения заявленных целей</w:t>
      </w:r>
      <w:r>
        <w:rPr>
          <w:spacing w:val="0"/>
          <w:sz w:val="24"/>
        </w:rPr>
        <w:t xml:space="preserve"> </w:t>
      </w:r>
      <w:r>
        <w:rPr>
          <w:sz w:val="24"/>
        </w:rPr>
        <w:t>обработки;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auto" w:line="240" w:before="179" w:after="0"/>
        <w:ind w:left="821" w:right="121" w:hanging="360"/>
        <w:jc w:val="left"/>
        <w:rPr>
          <w:sz w:val="24"/>
        </w:rPr>
      </w:pPr>
      <w:r>
        <w:rPr>
          <w:sz w:val="24"/>
        </w:rPr>
        <w:t>выполнение мер по обеспечению безопасности персональных данных при их обработке и</w:t>
      </w:r>
      <w:r>
        <w:rPr>
          <w:spacing w:val="0"/>
          <w:sz w:val="24"/>
        </w:rPr>
        <w:t xml:space="preserve"> </w:t>
      </w:r>
      <w:r>
        <w:rPr>
          <w:sz w:val="24"/>
        </w:rPr>
        <w:t>хранении;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exact" w:line="274" w:before="204" w:after="0"/>
        <w:ind w:left="821" w:right="119" w:hanging="360"/>
        <w:jc w:val="left"/>
        <w:rPr>
          <w:sz w:val="24"/>
        </w:rPr>
      </w:pPr>
      <w:r>
        <w:rPr>
          <w:sz w:val="24"/>
        </w:rPr>
        <w:t>соблюдение прав субъекта персональных данных на доступ к его персональным данным;</w:t>
      </w:r>
    </w:p>
    <w:p>
      <w:pPr>
        <w:pStyle w:val="ListParagraph"/>
        <w:numPr>
          <w:ilvl w:val="0"/>
          <w:numId w:val="2"/>
        </w:numPr>
        <w:tabs>
          <w:tab w:val="left" w:pos="821" w:leader="none"/>
          <w:tab w:val="left" w:pos="822" w:leader="none"/>
        </w:tabs>
        <w:spacing w:lineRule="auto" w:line="240" w:before="179" w:after="0"/>
        <w:ind w:left="821" w:right="0" w:hanging="360"/>
        <w:jc w:val="left"/>
        <w:rPr>
          <w:sz w:val="24"/>
        </w:rPr>
      </w:pPr>
      <w:r>
        <w:rPr>
          <w:sz w:val="24"/>
        </w:rPr>
        <w:t>соответствие сроков хранения персональных данных заявленным целям</w:t>
      </w:r>
      <w:r>
        <w:rPr>
          <w:spacing w:val="0"/>
          <w:sz w:val="24"/>
        </w:rPr>
        <w:t xml:space="preserve"> </w:t>
      </w:r>
      <w:r>
        <w:rPr>
          <w:sz w:val="24"/>
        </w:rPr>
        <w:t>обработки.</w:t>
      </w:r>
    </w:p>
    <w:p>
      <w:pPr>
        <w:pStyle w:val="1"/>
        <w:spacing w:before="181" w:after="0"/>
        <w:rPr/>
      </w:pPr>
      <w:r>
        <w:rPr/>
        <w:t>Конфиденциальность персональных данных</w:t>
      </w:r>
    </w:p>
    <w:p>
      <w:pPr>
        <w:pStyle w:val="Style13"/>
        <w:spacing w:before="44" w:after="0"/>
        <w:ind w:left="101" w:right="117" w:firstLine="708"/>
        <w:jc w:val="both"/>
        <w:rPr/>
      </w:pPr>
      <w:r>
        <w:rPr/>
        <w:t>Работники Поликлиники и иные лица, получившие доступ  к 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Состав персональных данных</w:t>
      </w:r>
    </w:p>
    <w:p>
      <w:pPr>
        <w:pStyle w:val="Style13"/>
        <w:spacing w:before="175" w:after="0"/>
        <w:ind w:left="101" w:right="105" w:hanging="0"/>
        <w:rPr/>
      </w:pPr>
      <w:r>
        <w:rPr/>
        <w:t>В состав обрабатываемых в компании персональных данных пациентов и работников могут входить: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0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0"/>
          <w:sz w:val="24"/>
        </w:rPr>
        <w:t xml:space="preserve"> </w:t>
      </w:r>
      <w:r>
        <w:rPr>
          <w:sz w:val="24"/>
        </w:rPr>
        <w:t>отчество;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/>
      </w:pPr>
      <w:r>
        <w:rPr>
          <w:sz w:val="24"/>
        </w:rPr>
        <w:t>пол;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>
          <w:sz w:val="24"/>
        </w:rPr>
      </w:pPr>
      <w:r>
        <w:rPr>
          <w:sz w:val="24"/>
        </w:rPr>
        <w:t>дата рождения или</w:t>
      </w:r>
      <w:r>
        <w:rPr>
          <w:spacing w:val="0"/>
          <w:sz w:val="24"/>
        </w:rPr>
        <w:t xml:space="preserve"> </w:t>
      </w:r>
      <w:r>
        <w:rPr>
          <w:sz w:val="24"/>
        </w:rPr>
        <w:t>возраст;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>
          <w:sz w:val="24"/>
        </w:rPr>
      </w:pPr>
      <w:r>
        <w:rPr>
          <w:sz w:val="24"/>
        </w:rPr>
        <w:t>паспортные данные</w:t>
      </w:r>
      <w:r>
        <w:rPr>
          <w:spacing w:val="0"/>
          <w:sz w:val="24"/>
        </w:rPr>
        <w:t xml:space="preserve"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0"/>
          <w:sz w:val="24"/>
        </w:rPr>
        <w:t xml:space="preserve"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>
          <w:sz w:val="24"/>
        </w:rPr>
      </w:pPr>
      <w:r>
        <w:rPr>
          <w:sz w:val="24"/>
        </w:rPr>
        <w:t>номер телефона, факса, адрес электронной почты (по</w:t>
      </w:r>
      <w:r>
        <w:rPr>
          <w:spacing w:val="0"/>
          <w:sz w:val="24"/>
        </w:rPr>
        <w:t xml:space="preserve"> </w:t>
      </w:r>
      <w:r>
        <w:rPr>
          <w:sz w:val="24"/>
        </w:rPr>
        <w:t>желанию);</w:t>
      </w:r>
    </w:p>
    <w:p>
      <w:pPr>
        <w:pStyle w:val="ListParagraph"/>
        <w:numPr>
          <w:ilvl w:val="0"/>
          <w:numId w:val="0"/>
        </w:numPr>
        <w:tabs>
          <w:tab w:val="left" w:pos="721" w:leader="none"/>
        </w:tabs>
        <w:spacing w:lineRule="auto" w:line="240" w:before="180" w:after="0"/>
        <w:ind w:left="101" w:right="0" w:hanging="619"/>
        <w:jc w:val="both"/>
        <w:rPr>
          <w:sz w:val="24"/>
        </w:rPr>
      </w:pPr>
      <w:r>
        <w:rPr>
          <w:sz w:val="24"/>
        </w:rPr>
        <w:t>информация о состоянии</w:t>
      </w:r>
      <w:r>
        <w:rPr>
          <w:spacing w:val="0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0"/>
        </w:numPr>
        <w:tabs>
          <w:tab w:val="left" w:pos="778" w:leader="none"/>
          <w:tab w:val="left" w:pos="779" w:leader="none"/>
        </w:tabs>
        <w:spacing w:lineRule="auto" w:line="240" w:before="180" w:after="0"/>
        <w:ind w:left="101" w:right="119" w:hanging="0"/>
        <w:jc w:val="left"/>
        <w:rPr>
          <w:sz w:val="24"/>
        </w:rPr>
      </w:pPr>
      <w:r>
        <w:rPr>
          <w:sz w:val="24"/>
        </w:rPr>
        <w:t>другая информация, необходимая для правильного проведения и интерпретации медицинских</w:t>
      </w:r>
      <w:r>
        <w:rPr>
          <w:spacing w:val="0"/>
          <w:sz w:val="24"/>
        </w:rPr>
        <w:t xml:space="preserve"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0"/>
        </w:numPr>
        <w:tabs>
          <w:tab w:val="left" w:pos="936" w:leader="none"/>
          <w:tab w:val="left" w:pos="937" w:leader="none"/>
          <w:tab w:val="left" w:pos="1889" w:leader="none"/>
          <w:tab w:val="left" w:pos="3507" w:leader="none"/>
          <w:tab w:val="left" w:pos="5119" w:leader="none"/>
          <w:tab w:val="left" w:pos="5748" w:leader="none"/>
          <w:tab w:val="left" w:pos="7272" w:leader="none"/>
          <w:tab w:val="left" w:pos="8139" w:leader="none"/>
        </w:tabs>
        <w:spacing w:lineRule="auto" w:line="240" w:before="180" w:after="0"/>
        <w:ind w:left="101" w:right="117" w:hanging="0"/>
        <w:jc w:val="left"/>
        <w:rPr/>
      </w:pPr>
      <w:r>
        <w:rPr>
          <w:sz w:val="24"/>
        </w:rPr>
        <w:t>другая информация,необходимая для выполнения свои обязательств Поликлиникой.</w:t>
      </w:r>
    </w:p>
    <w:p>
      <w:pPr>
        <w:pStyle w:val="Style13"/>
        <w:ind w:left="101" w:right="115" w:firstLine="708"/>
        <w:jc w:val="both"/>
        <w:rPr/>
      </w:pPr>
      <w:r>
        <w:rPr>
          <w:lang w:val="ru-RU"/>
        </w:rPr>
        <w:t>ООО</w:t>
      </w:r>
      <w:r>
        <w:rPr/>
        <w:t xml:space="preserve"> </w:t>
      </w:r>
      <w:bookmarkStart w:id="0" w:name="__DdeLink__181_1681293907"/>
      <w:r>
        <w:rPr/>
        <w:t>«</w:t>
      </w:r>
      <w:bookmarkEnd w:id="0"/>
      <w:r>
        <w:rPr>
          <w:lang w:val="ru-RU"/>
        </w:rPr>
        <w:t>Симилия</w:t>
      </w:r>
      <w:r>
        <w:rPr/>
        <w:t>» осуществляет обработку данных о состоянии здоровья пациентов в целях оказания медицинских услуг, установления медицинского диагноза при этом обработка персональных данных осуществляется лицами,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тайну.</w:t>
      </w:r>
    </w:p>
    <w:p>
      <w:pPr>
        <w:pStyle w:val="Style13"/>
        <w:ind w:left="101" w:right="118" w:firstLine="708"/>
        <w:jc w:val="both"/>
        <w:rPr/>
      </w:pPr>
      <w:r>
        <w:rPr/>
        <w:t>Поликлиника осуществляет обработку данных о состоянии здоровья работников в соответствии с трудовым законодательством Российской Федерации.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Сбор (получение) персональных данных</w:t>
      </w:r>
    </w:p>
    <w:p>
      <w:pPr>
        <w:pStyle w:val="Style13"/>
        <w:spacing w:before="175" w:after="0"/>
        <w:ind w:left="101" w:right="119" w:hanging="0"/>
        <w:jc w:val="both"/>
        <w:rPr/>
      </w:pPr>
      <w:r>
        <w:rPr/>
        <w:t xml:space="preserve">Персональные данные пациентов организация получает лично от пациента или от его законного представителя </w:t>
      </w:r>
      <w:r>
        <w:rPr>
          <w:lang w:val="ru-RU"/>
        </w:rPr>
        <w:t>или на сайте, если пациент заполняет форму и соглашается на обработку персональных данных</w:t>
      </w:r>
      <w:r>
        <w:rPr/>
        <w:t>. Персональные данные пациента могут быть получены с его слов и не проверяются.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Обработка персональных данных</w:t>
      </w:r>
    </w:p>
    <w:p>
      <w:pPr>
        <w:pStyle w:val="Style13"/>
        <w:spacing w:before="175" w:after="0"/>
        <w:ind w:left="101" w:right="120" w:firstLine="708"/>
        <w:jc w:val="both"/>
        <w:rPr/>
      </w:pPr>
      <w:r>
        <w:rPr/>
        <w:t>Обработка персональных данных в организации происходит как не автоматизированным, так и автоматизированным способом.</w:t>
      </w:r>
    </w:p>
    <w:p>
      <w:pPr>
        <w:sectPr>
          <w:footerReference w:type="default" r:id="rId2"/>
          <w:type w:val="nextPage"/>
          <w:pgSz w:w="11906" w:h="16838"/>
          <w:pgMar w:left="1600" w:right="720" w:header="0" w:top="1080" w:footer="1006" w:bottom="1200" w:gutter="0"/>
          <w:pgNumType w:fmt="decimal"/>
          <w:formProt w:val="false"/>
          <w:textDirection w:val="lrTb"/>
        </w:sectPr>
        <w:pStyle w:val="Style13"/>
        <w:ind w:left="101" w:right="105" w:hanging="0"/>
        <w:rPr/>
      </w:pPr>
      <w:r>
        <w:rPr/>
        <w:t>К обработке персональных данных в организации допускаются только работники прошедшие определенную процедуру допуска, к которой относятся: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44" w:after="0"/>
        <w:ind w:left="821" w:right="118" w:hanging="360"/>
        <w:jc w:val="both"/>
        <w:rPr>
          <w:sz w:val="24"/>
        </w:rPr>
      </w:pPr>
      <w:r>
        <w:rPr>
          <w:sz w:val="24"/>
        </w:rPr>
        <w:t>ознакомление работника с локальными нормативными актами Поликлиники (положения, инструкции и т.д.), строго регламентирующими порядок и процедуру работы с персональными</w:t>
      </w:r>
      <w:r>
        <w:rPr>
          <w:spacing w:val="0"/>
          <w:sz w:val="24"/>
        </w:rPr>
        <w:t xml:space="preserve"> </w:t>
      </w:r>
      <w:r>
        <w:rPr>
          <w:sz w:val="24"/>
        </w:rPr>
        <w:t>данными;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19" w:hanging="360"/>
        <w:jc w:val="both"/>
        <w:rPr>
          <w:sz w:val="24"/>
        </w:rPr>
      </w:pPr>
      <w:r>
        <w:rPr>
          <w:sz w:val="24"/>
        </w:rPr>
        <w:t>взятие с работника подписки о соблюдении конфиденциальности в отношении персональных данных при работе с</w:t>
      </w:r>
      <w:r>
        <w:rPr>
          <w:spacing w:val="0"/>
          <w:sz w:val="24"/>
        </w:rPr>
        <w:t xml:space="preserve"> </w:t>
      </w:r>
      <w:r>
        <w:rPr>
          <w:sz w:val="24"/>
        </w:rPr>
        <w:t>ними.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18" w:hanging="360"/>
        <w:jc w:val="both"/>
        <w:rPr>
          <w:sz w:val="24"/>
        </w:rPr>
      </w:pPr>
      <w:r>
        <w:rPr>
          <w:sz w:val="24"/>
        </w:rPr>
        <w:t>получение работником и использование в работе индивидуальных атрибутов доступа к информационным системам, содержащим в себе персональные данные. При этом каждому работнику выдаются минимально необходимые для исполнения трудовых обязанностей права на доступ в информационные</w:t>
      </w:r>
      <w:r>
        <w:rPr>
          <w:spacing w:val="0"/>
          <w:sz w:val="24"/>
        </w:rPr>
        <w:t xml:space="preserve"> </w:t>
      </w:r>
      <w:r>
        <w:rPr>
          <w:sz w:val="24"/>
        </w:rPr>
        <w:t>системы.</w:t>
      </w:r>
    </w:p>
    <w:p>
      <w:pPr>
        <w:pStyle w:val="Style13"/>
        <w:ind w:left="101" w:right="105" w:hanging="0"/>
        <w:rPr/>
      </w:pPr>
      <w:r>
        <w:rPr/>
        <w:t>Работники,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Style13"/>
        <w:spacing w:before="8" w:after="0"/>
        <w:ind w:left="0" w:right="0" w:hanging="0"/>
        <w:rPr>
          <w:sz w:val="31"/>
        </w:rPr>
      </w:pPr>
      <w:r>
        <w:rPr>
          <w:sz w:val="31"/>
        </w:rPr>
      </w:r>
    </w:p>
    <w:p>
      <w:pPr>
        <w:pStyle w:val="1"/>
        <w:ind w:left="101" w:right="105" w:hanging="0"/>
        <w:jc w:val="left"/>
        <w:rPr/>
      </w:pPr>
      <w:r>
        <w:rPr/>
        <w:t>Хранение персональных данных</w:t>
      </w:r>
    </w:p>
    <w:p>
      <w:pPr>
        <w:pStyle w:val="Style13"/>
        <w:spacing w:before="175" w:after="0"/>
        <w:ind w:left="101" w:right="117" w:firstLine="708"/>
        <w:jc w:val="both"/>
        <w:rPr/>
      </w:pPr>
      <w:r>
        <w:rPr/>
        <w:t>Персональные данные пациентов хранятся в бумажном и электронном виде. В электронном виде персональные данные пациентов хранятся в информационной системе персональных данных Поликлиники, а так же в архивных копиях баз данных этих систем. Порядок архивирования и сроки хранения архивных копий баз данных информационной системы персональных данных Поликлиники определены в инструкции о резервном копировании, которая является обязательной для исполнения администраторами соответствующей системы.</w:t>
      </w:r>
    </w:p>
    <w:p>
      <w:pPr>
        <w:pStyle w:val="Style13"/>
        <w:ind w:left="101" w:right="117" w:firstLine="360"/>
        <w:jc w:val="both"/>
        <w:rPr/>
      </w:pPr>
      <w:r>
        <w:rPr/>
        <w:t>При хранении персональных данных пациентов и работников соблюдаются организационные и технические меры, обеспечивающие их сохранность и исключающие несанкционированный доступ к ним. К ним относятся: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18" w:hanging="360"/>
        <w:jc w:val="both"/>
        <w:rPr>
          <w:sz w:val="24"/>
        </w:rPr>
      </w:pPr>
      <w:r>
        <w:rPr>
          <w:sz w:val="24"/>
        </w:rPr>
        <w:t>назначение сотрудника ответственного за тот или иной способ хранения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ограничение физического доступа к местам хранения и</w:t>
      </w:r>
      <w:r>
        <w:rPr>
          <w:spacing w:val="0"/>
          <w:sz w:val="24"/>
        </w:rPr>
        <w:t xml:space="preserve"> </w:t>
      </w:r>
      <w:r>
        <w:rPr>
          <w:sz w:val="24"/>
        </w:rPr>
        <w:t>носителям;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20" w:hanging="360"/>
        <w:jc w:val="both"/>
        <w:rPr>
          <w:sz w:val="24"/>
        </w:rPr>
      </w:pPr>
      <w:r>
        <w:rPr>
          <w:sz w:val="24"/>
        </w:rPr>
        <w:t>учет всех информационных систем и электронных носителей, а так же архивных копий.</w:t>
      </w:r>
    </w:p>
    <w:p>
      <w:pPr>
        <w:pStyle w:val="1"/>
        <w:ind w:left="101" w:right="105" w:hanging="0"/>
        <w:jc w:val="left"/>
        <w:rPr/>
      </w:pPr>
      <w:r>
        <w:rPr/>
      </w:r>
    </w:p>
    <w:p>
      <w:pPr>
        <w:pStyle w:val="1"/>
        <w:ind w:left="101" w:right="105" w:hanging="0"/>
        <w:jc w:val="left"/>
        <w:rPr/>
      </w:pPr>
      <w:r>
        <w:rPr/>
        <w:t>Передача персональных данных третьим лицам</w:t>
      </w:r>
    </w:p>
    <w:p>
      <w:pPr>
        <w:pStyle w:val="Style13"/>
        <w:spacing w:before="175" w:after="0"/>
        <w:ind w:left="101" w:right="119" w:firstLine="708"/>
        <w:jc w:val="both"/>
        <w:rPr/>
      </w:pPr>
      <w:r>
        <w:rPr/>
        <w:t>Передача персональных данных третьим лицам возможна в исключительных случаях только с письменного согласия пациента, кроме случаев, когда такая обязанность у Поликлиники наступает в результате требований федерального законодательства.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1"/>
        <w:ind w:left="101" w:right="105" w:hanging="0"/>
        <w:jc w:val="left"/>
        <w:rPr/>
      </w:pPr>
      <w:r>
        <w:rPr/>
        <w:t>Меры по обеспечению безопасности персональных данных при их обработке</w:t>
      </w:r>
    </w:p>
    <w:p>
      <w:pPr>
        <w:pStyle w:val="Style13"/>
        <w:spacing w:before="175" w:after="0"/>
        <w:ind w:left="101" w:right="120" w:firstLine="360"/>
        <w:jc w:val="both"/>
        <w:rPr/>
      </w:pPr>
      <w:r>
        <w:rPr/>
        <w:t>Обеспечение безопасности персональных данных в Поликлинике достигается следующими мерами:</w:t>
      </w:r>
    </w:p>
    <w:p>
      <w:pPr>
        <w:sectPr>
          <w:footerReference w:type="default" r:id="rId3"/>
          <w:type w:val="nextPage"/>
          <w:pgSz w:w="11906" w:h="16838"/>
          <w:pgMar w:left="1600" w:right="720" w:header="0" w:top="1080" w:footer="1006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20" w:hanging="360"/>
        <w:jc w:val="both"/>
        <w:rPr>
          <w:sz w:val="24"/>
        </w:rPr>
      </w:pPr>
      <w:r>
        <w:rPr>
          <w:sz w:val="24"/>
        </w:rPr>
        <w:t>назначением работника, ответственного за организацию обработки персональных 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  <w:tab w:val="left" w:pos="2419" w:leader="none"/>
          <w:tab w:val="left" w:pos="3960" w:leader="none"/>
          <w:tab w:val="left" w:pos="4913" w:leader="none"/>
          <w:tab w:val="left" w:pos="6977" w:leader="none"/>
          <w:tab w:val="left" w:pos="8107" w:leader="none"/>
        </w:tabs>
        <w:spacing w:lineRule="auto" w:line="240" w:before="44" w:after="0"/>
        <w:ind w:left="821" w:right="118" w:hanging="360"/>
        <w:jc w:val="left"/>
        <w:rPr>
          <w:sz w:val="24"/>
        </w:rPr>
      </w:pPr>
      <w:r>
        <w:rPr>
          <w:sz w:val="24"/>
        </w:rPr>
        <w:t>проведением</w:t>
        <w:tab/>
        <w:t>внутреннего</w:t>
        <w:tab/>
        <w:t>аудита</w:t>
        <w:tab/>
        <w:t>информационной</w:t>
        <w:tab/>
        <w:t>системы</w:t>
        <w:tab/>
        <w:t>организации, содержащей персональные данные, проведением их</w:t>
      </w:r>
      <w:r>
        <w:rPr>
          <w:spacing w:val="0"/>
          <w:sz w:val="24"/>
        </w:rPr>
        <w:t xml:space="preserve"> </w:t>
      </w:r>
      <w:r>
        <w:rPr>
          <w:sz w:val="24"/>
        </w:rPr>
        <w:t>классификации;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разработкой частной модели угроз безопасности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определением списка лиц, допущенных к работе с персональными</w:t>
      </w:r>
      <w:r>
        <w:rPr>
          <w:spacing w:val="0"/>
          <w:sz w:val="24"/>
        </w:rPr>
        <w:t xml:space="preserve"> </w:t>
      </w:r>
      <w:r>
        <w:rPr>
          <w:sz w:val="24"/>
        </w:rPr>
        <w:t>данными;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18" w:hanging="360"/>
        <w:jc w:val="both"/>
        <w:rPr>
          <w:sz w:val="24"/>
        </w:rPr>
      </w:pPr>
      <w:r>
        <w:rPr>
          <w:sz w:val="24"/>
        </w:rPr>
        <w:t>разработкой и утверждением локальных нормативных актов организации, регламентирующих порядок обработки персональных данных. Разработкой для администраторов информационной системы рабочих</w:t>
      </w:r>
      <w:r>
        <w:rPr>
          <w:spacing w:val="0"/>
          <w:sz w:val="24"/>
        </w:rPr>
        <w:t xml:space="preserve"> </w:t>
      </w:r>
      <w:r>
        <w:rPr>
          <w:sz w:val="24"/>
        </w:rPr>
        <w:t>инструкций;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  <w:tab w:val="left" w:pos="2333" w:leader="none"/>
          <w:tab w:val="left" w:pos="3859" w:leader="none"/>
          <w:tab w:val="left" w:pos="4534" w:leader="none"/>
          <w:tab w:val="left" w:pos="6019" w:leader="none"/>
          <w:tab w:val="left" w:pos="7500" w:leader="none"/>
          <w:tab w:val="left" w:pos="8907" w:leader="none"/>
        </w:tabs>
        <w:spacing w:lineRule="auto" w:line="240" w:before="180" w:after="0"/>
        <w:ind w:left="821" w:right="124" w:hanging="360"/>
        <w:jc w:val="left"/>
        <w:rPr>
          <w:sz w:val="24"/>
        </w:rPr>
      </w:pPr>
      <w:r>
        <w:rPr>
          <w:sz w:val="24"/>
        </w:rPr>
        <w:t>реализацией</w:t>
        <w:tab/>
        <w:t>технических</w:t>
        <w:tab/>
        <w:t>мер,</w:t>
        <w:tab/>
        <w:t>снижающих</w:t>
        <w:tab/>
        <w:t>вероятность</w:t>
        <w:tab/>
        <w:t>реализаций</w:t>
        <w:tab/>
      </w:r>
      <w:r>
        <w:rPr>
          <w:spacing w:val="0"/>
          <w:sz w:val="24"/>
        </w:rPr>
        <w:t xml:space="preserve">угроз </w:t>
      </w:r>
      <w:r>
        <w:rPr>
          <w:sz w:val="24"/>
        </w:rPr>
        <w:t>безопасности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119" w:hanging="360"/>
        <w:jc w:val="left"/>
        <w:rPr>
          <w:sz w:val="24"/>
        </w:rPr>
      </w:pPr>
      <w:r>
        <w:rPr>
          <w:sz w:val="24"/>
        </w:rPr>
        <w:t>проведением периодических проверок состояния защищенности информационной системы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1"/>
        <w:spacing w:before="185" w:after="0"/>
        <w:rPr/>
      </w:pPr>
      <w:r>
        <w:rPr/>
        <w:t>Права пациента</w:t>
      </w:r>
    </w:p>
    <w:p>
      <w:pPr>
        <w:pStyle w:val="Style13"/>
        <w:spacing w:before="175" w:after="0"/>
        <w:ind w:left="101" w:right="120" w:hanging="0"/>
        <w:jc w:val="both"/>
        <w:rPr/>
      </w:pPr>
      <w:r>
        <w:rPr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подтверждение факта обработки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правовые основания и цели обработки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цели и применяемые способы обработки персональных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данных;</w:t>
      </w:r>
    </w:p>
    <w:p>
      <w:pPr>
        <w:pStyle w:val="ListParagraph"/>
        <w:numPr>
          <w:ilvl w:val="1"/>
          <w:numId w:val="1"/>
        </w:numPr>
        <w:tabs>
          <w:tab w:val="left" w:pos="822" w:leader="none"/>
        </w:tabs>
        <w:spacing w:lineRule="auto" w:line="240" w:before="180" w:after="0"/>
        <w:ind w:left="821" w:right="117" w:hanging="360"/>
        <w:jc w:val="both"/>
        <w:rPr>
          <w:sz w:val="24"/>
        </w:rPr>
      </w:pPr>
      <w:r>
        <w:rPr>
          <w:sz w:val="24"/>
        </w:rPr>
        <w:t>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закона;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  <w:tab w:val="left" w:pos="2782" w:leader="none"/>
          <w:tab w:val="left" w:pos="4479" w:leader="none"/>
          <w:tab w:val="left" w:pos="5544" w:leader="none"/>
          <w:tab w:val="left" w:pos="7123" w:leader="none"/>
          <w:tab w:val="left" w:pos="7493" w:leader="none"/>
        </w:tabs>
        <w:spacing w:lineRule="auto" w:line="240" w:before="180" w:after="0"/>
        <w:ind w:left="821" w:right="117" w:hanging="360"/>
        <w:jc w:val="left"/>
        <w:rPr>
          <w:sz w:val="24"/>
        </w:rPr>
      </w:pPr>
      <w:r>
        <w:rPr>
          <w:sz w:val="24"/>
        </w:rPr>
        <w:t>обрабатываемые</w:t>
        <w:tab/>
        <w:t>персональные</w:t>
        <w:tab/>
        <w:t>данные,</w:t>
        <w:tab/>
        <w:t>относящиеся</w:t>
        <w:tab/>
        <w:t>к</w:t>
        <w:tab/>
        <w:t>соответствующему субъекту персональных данных, источник их</w:t>
      </w:r>
      <w:r>
        <w:rPr>
          <w:spacing w:val="0"/>
          <w:sz w:val="24"/>
        </w:rPr>
        <w:t xml:space="preserve"> </w:t>
      </w:r>
      <w:r>
        <w:rPr>
          <w:sz w:val="24"/>
        </w:rPr>
        <w:t>получения;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сроки обработки персональных данных, в том числе сроки их</w:t>
      </w:r>
      <w:r>
        <w:rPr>
          <w:spacing w:val="0"/>
          <w:sz w:val="24"/>
        </w:rPr>
        <w:t xml:space="preserve"> </w:t>
      </w:r>
      <w:r>
        <w:rPr>
          <w:sz w:val="24"/>
        </w:rPr>
        <w:t>хранения;</w:t>
      </w:r>
    </w:p>
    <w:p>
      <w:pPr>
        <w:pStyle w:val="ListParagraph"/>
        <w:numPr>
          <w:ilvl w:val="1"/>
          <w:numId w:val="1"/>
        </w:numPr>
        <w:tabs>
          <w:tab w:val="left" w:pos="821" w:leader="none"/>
          <w:tab w:val="left" w:pos="822" w:leader="none"/>
        </w:tabs>
        <w:spacing w:lineRule="auto" w:line="240" w:before="180" w:after="0"/>
        <w:ind w:left="821" w:right="0" w:hanging="360"/>
        <w:jc w:val="left"/>
        <w:rPr>
          <w:sz w:val="24"/>
        </w:rPr>
      </w:pPr>
      <w:r>
        <w:rPr>
          <w:sz w:val="24"/>
        </w:rPr>
        <w:t>порядок осуществления субъектом персональных данных своих</w:t>
      </w:r>
      <w:r>
        <w:rPr>
          <w:spacing w:val="0"/>
          <w:sz w:val="24"/>
        </w:rPr>
        <w:t xml:space="preserve"> </w:t>
      </w:r>
      <w:r>
        <w:rPr>
          <w:sz w:val="24"/>
        </w:rPr>
        <w:t>прав;</w:t>
      </w:r>
    </w:p>
    <w:p>
      <w:pPr>
        <w:pStyle w:val="Style13"/>
        <w:ind w:left="101" w:right="120" w:hanging="0"/>
        <w:jc w:val="both"/>
        <w:rPr/>
      </w:pPr>
      <w:r>
        <w:rPr/>
        <w:t>Соответствующая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законного представителя. Запрос должен быть составлен в соответствии с требованиями законодательства.</w:t>
      </w:r>
    </w:p>
    <w:p>
      <w:pPr>
        <w:pStyle w:val="Style13"/>
        <w:spacing w:before="0" w:after="0"/>
        <w:ind w:left="0" w:right="0" w:hanging="0"/>
        <w:rPr/>
      </w:pPr>
      <w:r>
        <w:rPr/>
      </w:r>
    </w:p>
    <w:p>
      <w:pPr>
        <w:pStyle w:val="Style13"/>
        <w:spacing w:before="0" w:after="0"/>
        <w:ind w:left="101" w:right="117" w:firstLine="708"/>
        <w:jc w:val="both"/>
        <w:rPr/>
      </w:pPr>
      <w:r>
        <w:rPr/>
        <w:t xml:space="preserve">Настоящая Политика обработки персональных данных действует в отношении всей информации, которую администрация </w:t>
      </w:r>
      <w:r>
        <w:rPr>
          <w:lang w:val="ru-RU"/>
        </w:rPr>
        <w:t>ООО</w:t>
      </w:r>
      <w:r>
        <w:rPr/>
        <w:t xml:space="preserve"> «</w:t>
      </w:r>
      <w:r>
        <w:rPr>
          <w:lang w:val="ru-RU"/>
        </w:rPr>
        <w:t>Симилия</w:t>
      </w:r>
      <w:r>
        <w:rPr/>
        <w:t>» может получить о пользователе во время использования им сервисов сайта.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сайта.</w:t>
      </w:r>
    </w:p>
    <w:sectPr>
      <w:footerReference w:type="default" r:id="rId4"/>
      <w:type w:val="nextPage"/>
      <w:pgSz w:w="11906" w:h="16838"/>
      <w:pgMar w:left="1600" w:right="720" w:header="0" w:top="1080" w:footer="1006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 w:before="0" w:after="0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3990340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8"/>
                            <w:spacing w:lineRule="exact" w:line="245" w:before="0" w:after="0"/>
                            <w:ind w:left="4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80.7pt;mso-position-vertical-relative:page;margin-left:314.2pt;mso-position-horizontal-relative:page">
              <v:textbox inset="0in,0in,0in,0in">
                <w:txbxContent>
                  <w:p>
                    <w:pPr>
                      <w:pStyle w:val="Style18"/>
                      <w:spacing w:lineRule="exact" w:line="245" w:before="0" w:after="0"/>
                      <w:ind w:left="4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 w:before="0" w:after="0"/>
      <w:ind w:left="0" w:right="0" w:hanging="0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 w:before="0" w:after="0"/>
      <w:ind w:left="0" w:right="0" w:hanging="0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101" w:hanging="620"/>
      </w:pPr>
      <w:rPr>
        <w:rFonts w:ascii="Symbol" w:hAnsi="Symbol" w:cs="Symbol" w:hint="default"/>
      </w:rPr>
    </w:lvl>
    <w:lvl w:ilvl="1">
      <w:start w:val="0"/>
      <w:numFmt w:val="bullet"/>
      <w:lvlText w:val="·"/>
      <w:lvlJc w:val="left"/>
      <w:pPr>
        <w:ind w:left="821" w:hanging="360"/>
      </w:pPr>
      <w:rPr>
        <w:rFonts w:ascii="Times New Roman" w:hAnsi="Times New Roman" w:cs="Times New Roman" w:hint="default"/>
        <w:sz w:val="24"/>
        <w:spacing w:val="0"/>
        <w:szCs w:val="24"/>
        <w:w w:val="100"/>
      </w:rPr>
    </w:lvl>
    <w:lvl w:ilvl="2">
      <w:start w:val="0"/>
      <w:numFmt w:val="bullet"/>
      <w:lvlText w:val=""/>
      <w:lvlJc w:val="left"/>
      <w:pPr>
        <w:ind w:left="179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76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74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6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633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ind w:left="821" w:hanging="360"/>
      </w:pPr>
      <w:rPr>
        <w:rFonts w:ascii="Symbol" w:hAnsi="Symbol" w:cs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left="169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5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32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7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5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828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1">
    <w:name w:val="Заголовок 1"/>
    <w:basedOn w:val="Normal"/>
    <w:uiPriority w:val="1"/>
    <w:qFormat/>
    <w:pPr>
      <w:ind w:left="101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2">
    <w:name w:val="Заголовок 2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100"/>
      <w:sz w:val="24"/>
      <w:szCs w:val="24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uiPriority w:val="1"/>
    <w:qFormat/>
    <w:pPr>
      <w:spacing w:before="180" w:after="0"/>
      <w:ind w:left="821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80" w:after="0"/>
      <w:ind w:left="821" w:right="0" w:hanging="360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Style17">
    <w:name w:val="Нижний колонтитул"/>
    <w:basedOn w:val="Normal"/>
    <w:pPr/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LibreOffice/4.4.1.2$Windows_x86 LibreOffice_project/45e2de17089c24a1fa810c8f975a7171ba4cd432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2017-06-30T10:18:19Z</dcterms:created>
  <dc:creator>Andrew</dc:creator>
  <dc:language>ru-RU</dc:language>
  <dcterms:modified xsi:type="dcterms:W3CDTF">2017-06-30T13:36:02Z</dcterms:modified>
  <cp:revision>2</cp:revision>
  <dc:title>Microsoft Word - Политика ФБЛПУ.docx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2014-08-04T00:00:00Z</vt:filetime>
  </property>
  <property fmtid="{D5CDD505-2E9C-101B-9397-08002B2CF9AE}" pid="4" name="Creator">
    <vt:lpwstr>UnknownApplication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2017-06-30T00:00:00Z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